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412"/>
        <w:gridCol w:w="91"/>
        <w:gridCol w:w="146"/>
        <w:gridCol w:w="726"/>
        <w:gridCol w:w="2550"/>
        <w:gridCol w:w="58"/>
      </w:tblGrid>
      <w:tr w:rsidR="00ED41E3" w:rsidRPr="0009158B" w:rsidTr="00970492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70492">
        <w:trPr>
          <w:gridAfter w:val="1"/>
          <w:wAfter w:w="58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303D55" w:rsidRDefault="00433C24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DIREKTNA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TUŽBA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ZAŠTITA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TREĆIH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(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OŠTEĆENIH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)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LICA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ODGOVORNOSTI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970492">
            <w:pPr>
              <w:shd w:val="clear" w:color="auto" w:fill="FFFFFF" w:themeFill="background1"/>
              <w:ind w:left="-414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97049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05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97049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70492">
        <w:trPr>
          <w:gridAfter w:val="1"/>
          <w:wAfter w:w="58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70492">
        <w:trPr>
          <w:gridAfter w:val="1"/>
          <w:wAfter w:w="58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970492">
        <w:trPr>
          <w:gridAfter w:val="1"/>
          <w:wAfter w:w="58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70492">
        <w:trPr>
          <w:gridAfter w:val="1"/>
          <w:wAfter w:w="58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70492">
        <w:trPr>
          <w:gridAfter w:val="1"/>
          <w:wAfter w:w="58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GENERALNO O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OSIGURANјU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 ODGOVORNOSTI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DVOSTRUKA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CILjNA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FUNKCIJA: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odgovornosti</w:t>
            </w:r>
            <w:proofErr w:type="spellEnd"/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trećeg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oštećenog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433C24" w:rsidRPr="00433C24" w:rsidRDefault="00433C24" w:rsidP="00433C24">
            <w:pPr>
              <w:pStyle w:val="ListParagraph"/>
              <w:ind w:left="108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POLOŽAJ TREĆEG OŠTEĆENOG LICA U OSIGURANјU OD ODGOVORNOSTI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Ko se smatra trećim oštećenim licem?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Pozitivne i negativne definicije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POJAM I POGODNOSTI DIREKTNE TUŽBE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Tekovina modernog zakonodavstva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Zakonsko, a ne ugovorno pravo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Ubrzanje i pojednostavlјenje postupka obeštećenja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U granicama odgovornosti osiguranika 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VRŠENјE PRAVA NA DIREKTNU TUŽBU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Ko podnosi direktnu tužbu?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Odgovornosti osiguranika kao preduslov dopuštenosti direktne tužbe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Podnošenje direktne tužbe pre tužbe protiv štetnika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Podnošenje direktne tužbe posle tužbe protiv štetnika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Podnošenje zajedničke tužbe protiv osiguranika i osiguravača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KOJI PRIGOVORI SE MOGU ISTAĆI OŠTEĆENOM LICU?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Razlika između obaveznih i dobrovolјnih osiguranja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Prigovori koji se odnose na propuste osiguranika pre nastanka osiguranog slučaja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Prigovori koji se odnose na propuste osiguranika nakon nastanka osiguranog slučaja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Autonomija direktne tužbe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 LI OŠTEĆENO LICE TREBA DA IMA NEKE OBAVEZE PREMA OSIGURAVAČU?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oštećenog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nakon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nastupanja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Mogućnost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obraćanja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osiguravaču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mirnom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PREDLOZI ZA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UNAPRE</w:t>
            </w:r>
            <w:bookmarkStart w:id="0" w:name="_GoBack"/>
            <w:bookmarkEnd w:id="0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ĐENјE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REGULATORNOG OKVIRA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Nataša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Petrović</w:t>
            </w:r>
            <w:proofErr w:type="spellEnd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Tomić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70492">
        <w:trPr>
          <w:gridAfter w:val="1"/>
          <w:wAfter w:w="58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70492">
        <w:trPr>
          <w:gridAfter w:val="1"/>
          <w:wAfter w:w="58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970492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970492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478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70492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97049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7049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970492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70492">
        <w:trPr>
          <w:gridAfter w:val="1"/>
          <w:wAfter w:w="56" w:type="dxa"/>
          <w:trHeight w:val="843"/>
          <w:jc w:val="center"/>
        </w:trPr>
        <w:tc>
          <w:tcPr>
            <w:tcW w:w="11432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 w:rsidR="00970492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970492" w:rsidRPr="00970492">
                    <w:rPr>
                      <w:rFonts w:ascii="Calibri" w:hAnsi="Calibri" w:cs="Calibri"/>
                      <w:color w:val="FFFFFF"/>
                      <w:sz w:val="22"/>
                      <w:szCs w:val="22"/>
                      <w:u w:val="single"/>
                      <w:lang w:val="de-DE"/>
                    </w:rPr>
                    <w:t>sladjana.obrenovic@pks.rs</w:t>
                  </w:r>
                  <w:r w:rsidR="00970492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4C3" w:rsidRDefault="00EC04C3">
      <w:r>
        <w:separator/>
      </w:r>
    </w:p>
  </w:endnote>
  <w:endnote w:type="continuationSeparator" w:id="0">
    <w:p w:rsidR="00EC04C3" w:rsidRDefault="00EC0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4C3" w:rsidRDefault="00EC04C3">
      <w:r>
        <w:separator/>
      </w:r>
    </w:p>
  </w:footnote>
  <w:footnote w:type="continuationSeparator" w:id="0">
    <w:p w:rsidR="00EC04C3" w:rsidRDefault="00EC0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0"/>
  </w:num>
  <w:num w:numId="3">
    <w:abstractNumId w:val="9"/>
  </w:num>
  <w:num w:numId="4">
    <w:abstractNumId w:val="18"/>
  </w:num>
  <w:num w:numId="5">
    <w:abstractNumId w:val="25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7"/>
  </w:num>
  <w:num w:numId="11">
    <w:abstractNumId w:val="28"/>
  </w:num>
  <w:num w:numId="12">
    <w:abstractNumId w:val="3"/>
  </w:num>
  <w:num w:numId="13">
    <w:abstractNumId w:val="0"/>
  </w:num>
  <w:num w:numId="14">
    <w:abstractNumId w:val="38"/>
  </w:num>
  <w:num w:numId="15">
    <w:abstractNumId w:val="14"/>
  </w:num>
  <w:num w:numId="16">
    <w:abstractNumId w:val="21"/>
  </w:num>
  <w:num w:numId="17">
    <w:abstractNumId w:val="12"/>
  </w:num>
  <w:num w:numId="18">
    <w:abstractNumId w:val="29"/>
  </w:num>
  <w:num w:numId="19">
    <w:abstractNumId w:val="15"/>
  </w:num>
  <w:num w:numId="20">
    <w:abstractNumId w:val="2"/>
  </w:num>
  <w:num w:numId="21">
    <w:abstractNumId w:val="26"/>
  </w:num>
  <w:num w:numId="22">
    <w:abstractNumId w:val="8"/>
  </w:num>
  <w:num w:numId="23">
    <w:abstractNumId w:val="30"/>
  </w:num>
  <w:num w:numId="24">
    <w:abstractNumId w:val="13"/>
  </w:num>
  <w:num w:numId="25">
    <w:abstractNumId w:val="16"/>
  </w:num>
  <w:num w:numId="26">
    <w:abstractNumId w:val="22"/>
  </w:num>
  <w:num w:numId="27">
    <w:abstractNumId w:val="33"/>
  </w:num>
  <w:num w:numId="28">
    <w:abstractNumId w:val="23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1"/>
  </w:num>
  <w:num w:numId="35">
    <w:abstractNumId w:val="6"/>
  </w:num>
  <w:num w:numId="36">
    <w:abstractNumId w:val="4"/>
  </w:num>
  <w:num w:numId="37">
    <w:abstractNumId w:val="32"/>
  </w:num>
  <w:num w:numId="38">
    <w:abstractNumId w:val="1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2C5A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07DB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049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04C3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C8BFD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83134-2B3F-43CA-AD93-50DD0BB3C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2023-11-07T15:24:00Z</dcterms:created>
  <dcterms:modified xsi:type="dcterms:W3CDTF">2023-11-07T15:24:00Z</dcterms:modified>
</cp:coreProperties>
</file>